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20" w:afterAutospacing="0" w:line="500" w:lineRule="exact"/>
        <w:ind w:firstLine="964" w:firstLineChars="300"/>
        <w:rPr>
          <w:rFonts w:ascii="宋体" w:hAnsi="宋体" w:eastAsia="宋体" w:cs="宋体"/>
          <w:color w:val="000000" w:themeColor="text1"/>
          <w:sz w:val="32"/>
          <w:szCs w:val="32"/>
        </w:rPr>
      </w:pPr>
      <w:r>
        <w:rPr>
          <w:rFonts w:hint="eastAsia" w:ascii="宋体" w:hAnsi="宋体" w:eastAsia="宋体" w:cs="宋体"/>
          <w:b/>
          <w:color w:val="000000" w:themeColor="text1"/>
          <w:sz w:val="32"/>
          <w:szCs w:val="32"/>
          <w:shd w:val="clear" w:color="auto" w:fill="FFFFFF"/>
        </w:rPr>
        <w:t>法学院</w:t>
      </w:r>
      <w:r>
        <w:rPr>
          <w:rFonts w:hint="eastAsia" w:ascii="宋体" w:hAnsi="宋体" w:eastAsia="宋体" w:cs="宋体"/>
          <w:b/>
          <w:color w:val="000000" w:themeColor="text1"/>
          <w:sz w:val="32"/>
          <w:szCs w:val="32"/>
          <w:shd w:val="clear" w:color="auto" w:fill="FFFFFF"/>
          <w:lang w:val="en-US" w:eastAsia="zh-CN"/>
        </w:rPr>
        <w:t>2021</w:t>
      </w:r>
      <w:r>
        <w:rPr>
          <w:rFonts w:hint="eastAsia" w:ascii="宋体" w:hAnsi="宋体" w:eastAsia="宋体" w:cs="宋体"/>
          <w:b/>
          <w:color w:val="000000" w:themeColor="text1"/>
          <w:sz w:val="32"/>
          <w:szCs w:val="32"/>
          <w:shd w:val="clear" w:color="auto" w:fill="FFFFFF"/>
        </w:rPr>
        <w:t>年硕士研究生招生复试录取实施细则</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根据</w:t>
      </w:r>
      <w:r>
        <w:rPr>
          <w:rFonts w:hint="eastAsia" w:ascii="宋体" w:hAnsi="宋体"/>
          <w:color w:val="000000"/>
          <w:sz w:val="24"/>
          <w:szCs w:val="24"/>
          <w:lang w:eastAsia="zh-CN"/>
        </w:rPr>
        <w:t>兰州</w:t>
      </w:r>
      <w:r>
        <w:rPr>
          <w:rFonts w:hint="eastAsia" w:ascii="宋体" w:hAnsi="宋体"/>
          <w:color w:val="000000"/>
          <w:sz w:val="24"/>
          <w:szCs w:val="24"/>
        </w:rPr>
        <w:t>大学2021年硕士招生复试录取工作的相关安排，为保障我院2021年硕士研究生招生复试录取工作顺利进行，经学院研究生招生工作领导小组研究，特制订本细则。</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一、组织领导</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根据</w:t>
      </w:r>
      <w:r>
        <w:rPr>
          <w:rFonts w:hint="eastAsia" w:ascii="宋体" w:hAnsi="宋体"/>
          <w:color w:val="000000"/>
          <w:sz w:val="24"/>
          <w:szCs w:val="24"/>
          <w:lang w:eastAsia="zh-CN"/>
        </w:rPr>
        <w:t>兰州</w:t>
      </w:r>
      <w:r>
        <w:rPr>
          <w:rFonts w:hint="eastAsia" w:ascii="宋体" w:hAnsi="宋体"/>
          <w:color w:val="000000"/>
          <w:sz w:val="24"/>
          <w:szCs w:val="24"/>
        </w:rPr>
        <w:t>大学相关文件精神，学院研究生招生工作领导小组全面负责本院2021年硕士研究生招生复试录取工作。经学院研究生招生工作领导小组研究决定，学院2021年硕士研究生复试采用现场复试的形式进行</w:t>
      </w:r>
      <w:r>
        <w:rPr>
          <w:rFonts w:hint="eastAsia" w:ascii="宋体" w:hAnsi="宋体"/>
          <w:color w:val="000000"/>
          <w:sz w:val="24"/>
          <w:szCs w:val="24"/>
          <w:lang w:eastAsia="zh-CN"/>
        </w:rPr>
        <w:t>。</w:t>
      </w:r>
      <w:r>
        <w:rPr>
          <w:rFonts w:hint="eastAsia" w:ascii="宋体" w:hAnsi="宋体"/>
          <w:color w:val="000000"/>
          <w:sz w:val="24"/>
          <w:szCs w:val="24"/>
        </w:rPr>
        <w:t>学院成立疫情防控应急小组，落实好各项防护措施，做好突发情况下的应急处置准备。</w:t>
      </w:r>
    </w:p>
    <w:p>
      <w:pPr>
        <w:spacing w:line="480" w:lineRule="exact"/>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二、招生计划</w:t>
      </w:r>
    </w:p>
    <w:p>
      <w:pPr>
        <w:spacing w:line="480" w:lineRule="exact"/>
        <w:ind w:firstLine="482" w:firstLineChars="200"/>
        <w:rPr>
          <w:rFonts w:hint="eastAsia" w:ascii="宋体" w:hAnsi="宋体"/>
          <w:b/>
          <w:bCs/>
          <w:color w:val="000000"/>
          <w:sz w:val="24"/>
          <w:szCs w:val="24"/>
          <w:lang w:eastAsia="zh-CN"/>
        </w:rPr>
      </w:pPr>
      <w:r>
        <w:rPr>
          <w:rFonts w:hint="eastAsia" w:ascii="宋体" w:hAnsi="宋体"/>
          <w:b/>
          <w:bCs/>
          <w:color w:val="000000"/>
          <w:sz w:val="24"/>
          <w:szCs w:val="24"/>
          <w:lang w:eastAsia="zh-CN"/>
        </w:rPr>
        <w:t>1、法学硕士研究生招生计划</w:t>
      </w:r>
    </w:p>
    <w:tbl>
      <w:tblPr>
        <w:tblStyle w:val="5"/>
        <w:tblW w:w="8154" w:type="dxa"/>
        <w:jc w:val="center"/>
        <w:tblLayout w:type="fixed"/>
        <w:tblCellMar>
          <w:top w:w="15" w:type="dxa"/>
          <w:left w:w="15" w:type="dxa"/>
          <w:bottom w:w="15" w:type="dxa"/>
          <w:right w:w="15" w:type="dxa"/>
        </w:tblCellMar>
      </w:tblPr>
      <w:tblGrid>
        <w:gridCol w:w="820"/>
        <w:gridCol w:w="1025"/>
        <w:gridCol w:w="2640"/>
        <w:gridCol w:w="2161"/>
        <w:gridCol w:w="1508"/>
      </w:tblGrid>
      <w:tr>
        <w:tblPrEx>
          <w:tblCellMar>
            <w:top w:w="15" w:type="dxa"/>
            <w:left w:w="15" w:type="dxa"/>
            <w:bottom w:w="15" w:type="dxa"/>
            <w:right w:w="15" w:type="dxa"/>
          </w:tblCellMar>
        </w:tblPrEx>
        <w:trPr>
          <w:trHeight w:val="703"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专业类别</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招生计划总计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专业方向</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招生计划</w:t>
            </w: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备注</w:t>
            </w:r>
          </w:p>
        </w:tc>
      </w:tr>
      <w:tr>
        <w:tblPrEx>
          <w:tblCellMar>
            <w:top w:w="15" w:type="dxa"/>
            <w:left w:w="15" w:type="dxa"/>
            <w:bottom w:w="15" w:type="dxa"/>
            <w:right w:w="15" w:type="dxa"/>
          </w:tblCellMar>
        </w:tblPrEx>
        <w:trPr>
          <w:trHeight w:val="23" w:hRule="atLeast"/>
          <w:jc w:val="center"/>
        </w:trPr>
        <w:tc>
          <w:tcPr>
            <w:tcW w:w="8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法学</w:t>
            </w:r>
          </w:p>
        </w:tc>
        <w:tc>
          <w:tcPr>
            <w:tcW w:w="1025"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法律史</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08" w:type="dxa"/>
            <w:vMerge w:val="restart"/>
            <w:tcBorders>
              <w:top w:val="single" w:color="000000" w:sz="4" w:space="0"/>
              <w:left w:val="single" w:color="000000" w:sz="4" w:space="0"/>
              <w:right w:val="single" w:color="000000" w:sz="4" w:space="0"/>
            </w:tcBorders>
            <w:vAlign w:val="center"/>
          </w:tcPr>
          <w:p>
            <w:pPr>
              <w:spacing w:line="440" w:lineRule="exact"/>
              <w:jc w:val="center"/>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法律史、宪法学与行政法学、民商法学、环境与资源保护法学、国际法学、诉讼法学（含公安学）、法学理论专业接收调剂</w:t>
            </w:r>
          </w:p>
        </w:tc>
      </w:tr>
      <w:tr>
        <w:tblPrEx>
          <w:tblCellMar>
            <w:top w:w="15" w:type="dxa"/>
            <w:left w:w="15" w:type="dxa"/>
            <w:bottom w:w="15" w:type="dxa"/>
            <w:right w:w="15" w:type="dxa"/>
          </w:tblCellMar>
        </w:tblPrEx>
        <w:trPr>
          <w:trHeight w:val="23" w:hRule="atLeast"/>
          <w:jc w:val="center"/>
        </w:trPr>
        <w:tc>
          <w:tcPr>
            <w:tcW w:w="820"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宪法学与行政法学</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08" w:type="dxa"/>
            <w:vMerge w:val="continue"/>
            <w:tcBorders>
              <w:left w:val="single" w:color="000000" w:sz="4" w:space="0"/>
              <w:right w:val="single" w:color="000000" w:sz="4" w:space="0"/>
            </w:tcBorders>
            <w:vAlign w:val="center"/>
          </w:tcPr>
          <w:p>
            <w:pPr>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23" w:hRule="atLeast"/>
          <w:jc w:val="center"/>
        </w:trPr>
        <w:tc>
          <w:tcPr>
            <w:tcW w:w="820"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刑法学</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0</w:t>
            </w:r>
          </w:p>
        </w:tc>
        <w:tc>
          <w:tcPr>
            <w:tcW w:w="1508" w:type="dxa"/>
            <w:vMerge w:val="continue"/>
            <w:tcBorders>
              <w:left w:val="single" w:color="000000" w:sz="4" w:space="0"/>
              <w:right w:val="single" w:color="000000" w:sz="4" w:space="0"/>
            </w:tcBorders>
            <w:vAlign w:val="center"/>
          </w:tcPr>
          <w:p>
            <w:pPr>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23" w:hRule="atLeast"/>
          <w:jc w:val="center"/>
        </w:trPr>
        <w:tc>
          <w:tcPr>
            <w:tcW w:w="820"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经济法学</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p>
        </w:tc>
        <w:tc>
          <w:tcPr>
            <w:tcW w:w="1508" w:type="dxa"/>
            <w:vMerge w:val="continue"/>
            <w:tcBorders>
              <w:left w:val="single" w:color="000000" w:sz="4" w:space="0"/>
              <w:right w:val="single" w:color="000000" w:sz="4" w:space="0"/>
            </w:tcBorders>
            <w:vAlign w:val="center"/>
          </w:tcPr>
          <w:p>
            <w:pPr>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23" w:hRule="atLeast"/>
          <w:jc w:val="center"/>
        </w:trPr>
        <w:tc>
          <w:tcPr>
            <w:tcW w:w="820"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国际法学</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08" w:type="dxa"/>
            <w:vMerge w:val="continue"/>
            <w:tcBorders>
              <w:left w:val="single" w:color="000000" w:sz="4" w:space="0"/>
              <w:right w:val="single" w:color="000000" w:sz="4" w:space="0"/>
            </w:tcBorders>
            <w:vAlign w:val="center"/>
          </w:tcPr>
          <w:p>
            <w:pPr>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290" w:hRule="atLeast"/>
          <w:jc w:val="center"/>
        </w:trPr>
        <w:tc>
          <w:tcPr>
            <w:tcW w:w="820"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环境与资源保护法学</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08" w:type="dxa"/>
            <w:vMerge w:val="continue"/>
            <w:tcBorders>
              <w:left w:val="single" w:color="000000" w:sz="4" w:space="0"/>
              <w:right w:val="single" w:color="000000" w:sz="4" w:space="0"/>
            </w:tcBorders>
            <w:vAlign w:val="center"/>
          </w:tcPr>
          <w:p>
            <w:pPr>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211" w:hRule="atLeast"/>
          <w:jc w:val="center"/>
        </w:trPr>
        <w:tc>
          <w:tcPr>
            <w:tcW w:w="820"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bottom w:val="single" w:color="auto"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民商法</w:t>
            </w:r>
            <w:r>
              <w:rPr>
                <w:rFonts w:hint="eastAsia" w:ascii="宋体" w:hAnsi="宋体" w:eastAsia="宋体" w:cs="宋体"/>
                <w:color w:val="auto"/>
                <w:kern w:val="0"/>
                <w:sz w:val="28"/>
                <w:szCs w:val="28"/>
                <w:lang w:eastAsia="zh-CN"/>
              </w:rPr>
              <w:t>学</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08" w:type="dxa"/>
            <w:vMerge w:val="continue"/>
            <w:tcBorders>
              <w:left w:val="single" w:color="000000" w:sz="4" w:space="0"/>
              <w:bottom w:val="single" w:color="auto" w:sz="4" w:space="0"/>
              <w:right w:val="single" w:color="000000" w:sz="4" w:space="0"/>
            </w:tcBorders>
            <w:vAlign w:val="center"/>
          </w:tcPr>
          <w:p>
            <w:pPr>
              <w:widowControl/>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266" w:hRule="atLeast"/>
          <w:jc w:val="center"/>
        </w:trPr>
        <w:tc>
          <w:tcPr>
            <w:tcW w:w="820"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bottom w:val="single" w:color="auto"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诉讼法学</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08" w:type="dxa"/>
            <w:vMerge w:val="continue"/>
            <w:tcBorders>
              <w:left w:val="single" w:color="000000" w:sz="4" w:space="0"/>
              <w:bottom w:val="single" w:color="auto" w:sz="4" w:space="0"/>
              <w:right w:val="single" w:color="000000" w:sz="4" w:space="0"/>
            </w:tcBorders>
            <w:vAlign w:val="center"/>
          </w:tcPr>
          <w:p>
            <w:pPr>
              <w:widowControl/>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749" w:hRule="atLeast"/>
          <w:jc w:val="center"/>
        </w:trPr>
        <w:tc>
          <w:tcPr>
            <w:tcW w:w="820"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1025" w:type="dxa"/>
            <w:vMerge w:val="continue"/>
            <w:tcBorders>
              <w:left w:val="single" w:color="000000" w:sz="4" w:space="0"/>
              <w:bottom w:val="single" w:color="auto"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p>
        </w:tc>
        <w:tc>
          <w:tcPr>
            <w:tcW w:w="26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法学理论</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08" w:type="dxa"/>
            <w:vMerge w:val="continue"/>
            <w:tcBorders>
              <w:left w:val="single" w:color="000000" w:sz="4" w:space="0"/>
              <w:bottom w:val="single" w:color="auto" w:sz="4" w:space="0"/>
              <w:right w:val="single" w:color="000000" w:sz="4" w:space="0"/>
            </w:tcBorders>
            <w:vAlign w:val="center"/>
          </w:tcPr>
          <w:p>
            <w:pPr>
              <w:widowControl/>
              <w:spacing w:line="440" w:lineRule="exact"/>
              <w:jc w:val="center"/>
              <w:textAlignment w:val="center"/>
              <w:rPr>
                <w:rFonts w:ascii="宋体" w:hAnsi="宋体" w:eastAsia="宋体" w:cs="宋体"/>
                <w:color w:val="auto"/>
                <w:kern w:val="0"/>
                <w:sz w:val="28"/>
                <w:szCs w:val="28"/>
              </w:rPr>
            </w:pPr>
          </w:p>
        </w:tc>
      </w:tr>
    </w:tbl>
    <w:p>
      <w:pPr>
        <w:pStyle w:val="10"/>
        <w:tabs>
          <w:tab w:val="left" w:pos="709"/>
        </w:tabs>
        <w:spacing w:line="440" w:lineRule="exact"/>
        <w:ind w:firstLine="281" w:firstLineChars="100"/>
        <w:rPr>
          <w:rFonts w:ascii="宋体" w:hAnsi="宋体" w:eastAsia="宋体" w:cs="宋体"/>
          <w:b/>
          <w:bCs/>
          <w:color w:val="auto"/>
          <w:sz w:val="28"/>
          <w:szCs w:val="28"/>
        </w:rPr>
      </w:pPr>
    </w:p>
    <w:p>
      <w:pPr>
        <w:pStyle w:val="10"/>
        <w:tabs>
          <w:tab w:val="left" w:pos="709"/>
        </w:tabs>
        <w:spacing w:line="440" w:lineRule="exact"/>
        <w:ind w:left="0" w:leftChars="0" w:firstLine="0" w:firstLineChars="0"/>
        <w:rPr>
          <w:rFonts w:hint="eastAsia" w:ascii="宋体" w:hAnsi="宋体" w:eastAsia="宋体" w:cs="宋体"/>
          <w:b/>
          <w:bCs/>
          <w:sz w:val="28"/>
          <w:szCs w:val="28"/>
        </w:rPr>
      </w:pPr>
    </w:p>
    <w:p>
      <w:pPr>
        <w:pStyle w:val="10"/>
        <w:tabs>
          <w:tab w:val="left" w:pos="709"/>
        </w:tabs>
        <w:spacing w:line="440" w:lineRule="exact"/>
        <w:ind w:left="0" w:leftChars="0" w:firstLine="0" w:firstLineChars="0"/>
        <w:rPr>
          <w:rFonts w:hint="eastAsia" w:ascii="宋体" w:hAnsi="宋体" w:eastAsia="宋体" w:cs="宋体"/>
          <w:b/>
          <w:bCs/>
          <w:sz w:val="28"/>
          <w:szCs w:val="28"/>
        </w:rPr>
      </w:pPr>
    </w:p>
    <w:p>
      <w:pPr>
        <w:spacing w:line="480" w:lineRule="exact"/>
        <w:ind w:firstLine="720" w:firstLineChars="300"/>
        <w:rPr>
          <w:rFonts w:hint="eastAsia" w:ascii="宋体" w:hAnsi="宋体"/>
          <w:color w:val="000000"/>
          <w:sz w:val="24"/>
          <w:szCs w:val="24"/>
          <w:lang w:eastAsia="zh-CN"/>
        </w:rPr>
      </w:pPr>
    </w:p>
    <w:p>
      <w:pPr>
        <w:spacing w:line="480" w:lineRule="exact"/>
        <w:ind w:firstLine="720" w:firstLineChars="300"/>
        <w:rPr>
          <w:rFonts w:hint="eastAsia" w:ascii="宋体" w:hAnsi="宋体"/>
          <w:color w:val="000000"/>
          <w:sz w:val="24"/>
          <w:szCs w:val="24"/>
          <w:lang w:eastAsia="zh-CN"/>
        </w:rPr>
      </w:pPr>
    </w:p>
    <w:p>
      <w:pPr>
        <w:spacing w:line="480" w:lineRule="exact"/>
        <w:ind w:firstLine="723" w:firstLineChars="300"/>
        <w:rPr>
          <w:rFonts w:hint="eastAsia" w:ascii="宋体" w:hAnsi="宋体"/>
          <w:b/>
          <w:bCs/>
          <w:color w:val="000000"/>
          <w:sz w:val="24"/>
          <w:szCs w:val="24"/>
          <w:lang w:eastAsia="zh-CN"/>
        </w:rPr>
      </w:pPr>
      <w:r>
        <w:rPr>
          <w:rFonts w:hint="eastAsia" w:ascii="宋体" w:hAnsi="宋体"/>
          <w:b/>
          <w:bCs/>
          <w:color w:val="000000"/>
          <w:sz w:val="24"/>
          <w:szCs w:val="24"/>
          <w:lang w:eastAsia="zh-CN"/>
        </w:rPr>
        <w:t>2、专业学位法律硕士研究生招生计划</w:t>
      </w:r>
    </w:p>
    <w:p>
      <w:pPr>
        <w:pStyle w:val="10"/>
        <w:tabs>
          <w:tab w:val="left" w:pos="709"/>
        </w:tabs>
        <w:spacing w:line="440" w:lineRule="exact"/>
        <w:rPr>
          <w:rFonts w:ascii="宋体" w:hAnsi="宋体" w:eastAsia="宋体" w:cs="宋体"/>
          <w:b/>
          <w:bCs/>
          <w:color w:val="0000FF"/>
          <w:sz w:val="28"/>
          <w:szCs w:val="28"/>
        </w:rPr>
      </w:pPr>
    </w:p>
    <w:tbl>
      <w:tblPr>
        <w:tblStyle w:val="5"/>
        <w:tblpPr w:leftFromText="180" w:rightFromText="180" w:vertAnchor="text" w:horzAnchor="page" w:tblpX="1863" w:tblpY="714"/>
        <w:tblOverlap w:val="never"/>
        <w:tblW w:w="8080" w:type="dxa"/>
        <w:tblInd w:w="0" w:type="dxa"/>
        <w:tblLayout w:type="fixed"/>
        <w:tblCellMar>
          <w:top w:w="15" w:type="dxa"/>
          <w:left w:w="15" w:type="dxa"/>
          <w:bottom w:w="15" w:type="dxa"/>
          <w:right w:w="15" w:type="dxa"/>
        </w:tblCellMar>
      </w:tblPr>
      <w:tblGrid>
        <w:gridCol w:w="1858"/>
        <w:gridCol w:w="1973"/>
        <w:gridCol w:w="3115"/>
        <w:gridCol w:w="5"/>
        <w:gridCol w:w="1129"/>
      </w:tblGrid>
      <w:tr>
        <w:tblPrEx>
          <w:tblCellMar>
            <w:top w:w="15" w:type="dxa"/>
            <w:left w:w="15" w:type="dxa"/>
            <w:bottom w:w="15" w:type="dxa"/>
            <w:right w:w="15" w:type="dxa"/>
          </w:tblCellMar>
        </w:tblPrEx>
        <w:trPr>
          <w:trHeight w:val="70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专业类别</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招生计划</w:t>
            </w:r>
          </w:p>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总计</w:t>
            </w:r>
          </w:p>
        </w:tc>
        <w:tc>
          <w:tcPr>
            <w:tcW w:w="31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lang w:eastAsia="zh-CN"/>
              </w:rPr>
              <w:t>分专业</w:t>
            </w:r>
            <w:r>
              <w:rPr>
                <w:rFonts w:hint="eastAsia" w:ascii="宋体" w:hAnsi="宋体" w:eastAsia="宋体" w:cs="宋体"/>
                <w:color w:val="auto"/>
                <w:kern w:val="0"/>
                <w:sz w:val="28"/>
                <w:szCs w:val="28"/>
              </w:rPr>
              <w:t>招生计划</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备注</w:t>
            </w:r>
          </w:p>
        </w:tc>
      </w:tr>
      <w:tr>
        <w:tblPrEx>
          <w:tblCellMar>
            <w:top w:w="15" w:type="dxa"/>
            <w:left w:w="15" w:type="dxa"/>
            <w:bottom w:w="15" w:type="dxa"/>
            <w:right w:w="15" w:type="dxa"/>
          </w:tblCellMar>
        </w:tblPrEx>
        <w:trPr>
          <w:trHeight w:val="676"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全日制（法学）</w:t>
            </w:r>
          </w:p>
        </w:tc>
        <w:tc>
          <w:tcPr>
            <w:tcW w:w="197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eastAsia="zh-CN"/>
              </w:rPr>
              <w:t>167</w:t>
            </w:r>
            <w:r>
              <w:rPr>
                <w:rFonts w:hint="eastAsia" w:ascii="宋体" w:hAnsi="宋体" w:eastAsia="宋体" w:cs="宋体"/>
                <w:color w:val="auto"/>
                <w:sz w:val="28"/>
                <w:szCs w:val="28"/>
              </w:rPr>
              <w:t>（含少干</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人、大学生士兵计划</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人）</w:t>
            </w:r>
          </w:p>
        </w:tc>
        <w:tc>
          <w:tcPr>
            <w:tcW w:w="31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47</w:t>
            </w:r>
            <w:r>
              <w:rPr>
                <w:rFonts w:hint="eastAsia" w:ascii="宋体" w:hAnsi="宋体" w:eastAsia="宋体" w:cs="宋体"/>
                <w:color w:val="auto"/>
                <w:kern w:val="0"/>
                <w:sz w:val="28"/>
                <w:szCs w:val="28"/>
              </w:rPr>
              <w:t>（（含少数骨干</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人、大学生士兵</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人）</w:t>
            </w:r>
          </w:p>
        </w:tc>
        <w:tc>
          <w:tcPr>
            <w:tcW w:w="1134" w:type="dxa"/>
            <w:gridSpan w:val="2"/>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接收调剂</w:t>
            </w:r>
          </w:p>
        </w:tc>
      </w:tr>
      <w:tr>
        <w:tblPrEx>
          <w:tblCellMar>
            <w:top w:w="15" w:type="dxa"/>
            <w:left w:w="15" w:type="dxa"/>
            <w:bottom w:w="15" w:type="dxa"/>
            <w:right w:w="15" w:type="dxa"/>
          </w:tblCellMar>
        </w:tblPrEx>
        <w:trPr>
          <w:trHeight w:val="871"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全日制（非法学）</w:t>
            </w:r>
          </w:p>
        </w:tc>
        <w:tc>
          <w:tcPr>
            <w:tcW w:w="197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p>
        </w:tc>
        <w:tc>
          <w:tcPr>
            <w:tcW w:w="3115" w:type="dxa"/>
            <w:tcBorders>
              <w:top w:val="single" w:color="000000" w:sz="4" w:space="0"/>
              <w:left w:val="single" w:color="000000" w:sz="4" w:space="0"/>
              <w:bottom w:val="single" w:color="000000" w:sz="4" w:space="0"/>
              <w:right w:val="single" w:color="auto" w:sz="4" w:space="0"/>
            </w:tcBorders>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120（</w:t>
            </w:r>
            <w:r>
              <w:rPr>
                <w:rFonts w:hint="eastAsia" w:ascii="宋体" w:hAnsi="宋体" w:eastAsia="宋体" w:cs="宋体"/>
                <w:color w:val="auto"/>
                <w:kern w:val="0"/>
                <w:sz w:val="28"/>
                <w:szCs w:val="28"/>
              </w:rPr>
              <w:t>含少数骨干</w:t>
            </w: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人、大学生士兵</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人）</w:t>
            </w:r>
          </w:p>
        </w:tc>
        <w:tc>
          <w:tcPr>
            <w:tcW w:w="1134" w:type="dxa"/>
            <w:gridSpan w:val="2"/>
            <w:vMerge w:val="continue"/>
            <w:tcBorders>
              <w:left w:val="single" w:color="auto"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color w:val="auto"/>
                <w:kern w:val="0"/>
                <w:sz w:val="28"/>
                <w:szCs w:val="28"/>
              </w:rPr>
            </w:pPr>
          </w:p>
        </w:tc>
      </w:tr>
      <w:tr>
        <w:tblPrEx>
          <w:tblCellMar>
            <w:top w:w="15" w:type="dxa"/>
            <w:left w:w="15" w:type="dxa"/>
            <w:bottom w:w="15" w:type="dxa"/>
            <w:right w:w="15" w:type="dxa"/>
          </w:tblCellMar>
        </w:tblPrEx>
        <w:trPr>
          <w:trHeight w:val="588"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非全日制（法学、非法学）</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40</w:t>
            </w:r>
          </w:p>
        </w:tc>
        <w:tc>
          <w:tcPr>
            <w:tcW w:w="3120"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40" w:lineRule="exact"/>
              <w:jc w:val="center"/>
              <w:textAlignment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40</w:t>
            </w:r>
          </w:p>
        </w:tc>
        <w:tc>
          <w:tcPr>
            <w:tcW w:w="1129"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接收调剂</w:t>
            </w:r>
          </w:p>
        </w:tc>
      </w:tr>
    </w:tbl>
    <w:p>
      <w:pPr>
        <w:pStyle w:val="10"/>
        <w:tabs>
          <w:tab w:val="left" w:pos="709"/>
        </w:tabs>
        <w:spacing w:line="440" w:lineRule="exact"/>
        <w:ind w:firstLine="562" w:firstLineChars="200"/>
        <w:rPr>
          <w:rFonts w:hint="default" w:ascii="宋体" w:hAnsi="宋体" w:eastAsia="宋体" w:cs="宋体"/>
          <w:b/>
          <w:bCs/>
          <w:sz w:val="28"/>
          <w:szCs w:val="28"/>
          <w:lang w:val="en-US" w:eastAsia="zh-CN"/>
        </w:rPr>
      </w:pPr>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二、调剂</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具体调剂办法参看兰州大学法学院网站发布的《兰州大学法学院20</w:t>
      </w:r>
      <w:r>
        <w:rPr>
          <w:rFonts w:hint="eastAsia" w:ascii="宋体" w:hAnsi="宋体"/>
          <w:color w:val="000000"/>
          <w:sz w:val="24"/>
          <w:szCs w:val="24"/>
          <w:lang w:val="en-US" w:eastAsia="zh-CN"/>
        </w:rPr>
        <w:t>21</w:t>
      </w:r>
      <w:r>
        <w:rPr>
          <w:rFonts w:hint="eastAsia" w:ascii="宋体" w:hAnsi="宋体"/>
          <w:color w:val="000000"/>
          <w:sz w:val="24"/>
          <w:szCs w:val="24"/>
        </w:rPr>
        <w:t>年法律硕士（非全日制）接收调剂通知》、《兰州大学法学院20</w:t>
      </w:r>
      <w:r>
        <w:rPr>
          <w:rFonts w:hint="eastAsia" w:ascii="宋体" w:hAnsi="宋体"/>
          <w:color w:val="000000"/>
          <w:sz w:val="24"/>
          <w:szCs w:val="24"/>
          <w:lang w:val="en-US" w:eastAsia="zh-CN"/>
        </w:rPr>
        <w:t>21</w:t>
      </w:r>
      <w:r>
        <w:rPr>
          <w:rFonts w:hint="eastAsia" w:ascii="宋体" w:hAnsi="宋体"/>
          <w:color w:val="000000"/>
          <w:sz w:val="24"/>
          <w:szCs w:val="24"/>
        </w:rPr>
        <w:t>年法学、法律硕士（全日制）接收调剂通知</w:t>
      </w:r>
      <w:r>
        <w:rPr>
          <w:rFonts w:hint="eastAsia" w:ascii="宋体" w:hAnsi="宋体"/>
          <w:color w:val="000000"/>
          <w:sz w:val="24"/>
          <w:szCs w:val="24"/>
          <w:lang w:eastAsia="zh-CN"/>
        </w:rPr>
        <w:t>》</w:t>
      </w:r>
      <w:r>
        <w:rPr>
          <w:rFonts w:hint="eastAsia" w:ascii="宋体" w:hAnsi="宋体"/>
          <w:color w:val="000000"/>
          <w:sz w:val="24"/>
          <w:szCs w:val="24"/>
        </w:rPr>
        <w:t>。</w:t>
      </w:r>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三、复试</w:t>
      </w:r>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（一）复试对象</w:t>
      </w:r>
    </w:p>
    <w:p>
      <w:pPr>
        <w:pStyle w:val="10"/>
        <w:tabs>
          <w:tab w:val="left" w:pos="709"/>
        </w:tabs>
        <w:spacing w:line="440" w:lineRule="exact"/>
        <w:ind w:firstLine="480" w:firstLineChars="200"/>
        <w:rPr>
          <w:rFonts w:ascii="宋体" w:hAnsi="宋体" w:eastAsia="宋体" w:cs="宋体"/>
          <w:b/>
          <w:bCs/>
          <w:sz w:val="28"/>
          <w:szCs w:val="28"/>
        </w:rPr>
      </w:pPr>
      <w:r>
        <w:rPr>
          <w:rFonts w:hint="eastAsia" w:ascii="宋体" w:hAnsi="宋体" w:eastAsiaTheme="minorEastAsia" w:cstheme="minorBidi"/>
          <w:color w:val="000000"/>
          <w:kern w:val="2"/>
          <w:sz w:val="24"/>
          <w:szCs w:val="24"/>
          <w:lang w:val="en-US" w:eastAsia="zh-CN" w:bidi="ar-SA"/>
        </w:rPr>
        <w:t>参加2021年硕士研究生招生考试第一志愿报考兰州大学法学院且符合专业复试分数线的考生</w:t>
      </w:r>
      <w:r>
        <w:rPr>
          <w:rFonts w:hint="eastAsia" w:ascii="宋体" w:hAnsi="宋体" w:cstheme="minorBidi"/>
          <w:color w:val="000000"/>
          <w:kern w:val="2"/>
          <w:sz w:val="24"/>
          <w:szCs w:val="24"/>
          <w:lang w:val="en-US" w:eastAsia="zh-CN" w:bidi="ar-SA"/>
        </w:rPr>
        <w:t>，</w:t>
      </w:r>
      <w:r>
        <w:rPr>
          <w:rFonts w:hint="eastAsia" w:ascii="宋体" w:hAnsi="宋体" w:eastAsiaTheme="minorEastAsia" w:cstheme="minorBidi"/>
          <w:color w:val="000000"/>
          <w:kern w:val="2"/>
          <w:sz w:val="24"/>
          <w:szCs w:val="24"/>
          <w:lang w:val="en-US" w:eastAsia="zh-CN" w:bidi="ar-SA"/>
        </w:rPr>
        <w:t>以及申请调剂兰州大学法学院</w:t>
      </w:r>
      <w:r>
        <w:rPr>
          <w:rFonts w:hint="eastAsia" w:ascii="宋体" w:hAnsi="宋体" w:cstheme="minorBidi"/>
          <w:color w:val="000000"/>
          <w:kern w:val="2"/>
          <w:sz w:val="24"/>
          <w:szCs w:val="24"/>
          <w:lang w:val="en-US" w:eastAsia="zh-CN" w:bidi="ar-SA"/>
        </w:rPr>
        <w:t>，</w:t>
      </w:r>
      <w:r>
        <w:rPr>
          <w:rFonts w:hint="eastAsia" w:ascii="宋体" w:hAnsi="宋体" w:eastAsiaTheme="minorEastAsia" w:cstheme="minorBidi"/>
          <w:color w:val="000000"/>
          <w:kern w:val="2"/>
          <w:sz w:val="24"/>
          <w:szCs w:val="24"/>
          <w:lang w:val="en-US" w:eastAsia="zh-CN" w:bidi="ar-SA"/>
        </w:rPr>
        <w:t>且</w:t>
      </w:r>
      <w:r>
        <w:rPr>
          <w:rFonts w:hint="eastAsia" w:ascii="宋体" w:hAnsi="宋体" w:cstheme="minorBidi"/>
          <w:color w:val="000000"/>
          <w:kern w:val="2"/>
          <w:sz w:val="24"/>
          <w:szCs w:val="24"/>
          <w:lang w:val="en-US" w:eastAsia="zh-CN" w:bidi="ar-SA"/>
        </w:rPr>
        <w:t>经学院招生工作领导小组审核</w:t>
      </w:r>
      <w:r>
        <w:rPr>
          <w:rFonts w:hint="eastAsia" w:ascii="宋体" w:hAnsi="宋体" w:eastAsiaTheme="minorEastAsia" w:cstheme="minorBidi"/>
          <w:color w:val="000000"/>
          <w:kern w:val="2"/>
          <w:sz w:val="24"/>
          <w:szCs w:val="24"/>
          <w:lang w:val="en-US" w:eastAsia="zh-CN" w:bidi="ar-SA"/>
        </w:rPr>
        <w:t>同意参加复试的考生。</w:t>
      </w:r>
    </w:p>
    <w:p>
      <w:pPr>
        <w:pStyle w:val="10"/>
        <w:numPr>
          <w:ilvl w:val="0"/>
          <w:numId w:val="1"/>
        </w:numPr>
        <w:tabs>
          <w:tab w:val="left" w:pos="709"/>
        </w:tabs>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复试方式</w:t>
      </w:r>
    </w:p>
    <w:p>
      <w:pPr>
        <w:spacing w:line="480" w:lineRule="exact"/>
        <w:ind w:firstLine="480" w:firstLineChars="200"/>
        <w:rPr>
          <w:rFonts w:hint="eastAsia" w:ascii="宋体" w:hAnsi="宋体"/>
          <w:color w:val="000000"/>
          <w:sz w:val="24"/>
          <w:szCs w:val="24"/>
          <w:lang w:eastAsia="zh-CN"/>
        </w:rPr>
      </w:pPr>
      <w:r>
        <w:rPr>
          <w:rFonts w:hint="eastAsia" w:ascii="宋体" w:hAnsi="宋体"/>
          <w:color w:val="000000"/>
          <w:sz w:val="24"/>
          <w:szCs w:val="24"/>
        </w:rPr>
        <w:t>经学院招生工作领导小组充分讨论和评估，在确保公平公正的前提下，拟采取</w:t>
      </w:r>
      <w:r>
        <w:rPr>
          <w:rFonts w:hint="eastAsia" w:ascii="宋体" w:hAnsi="宋体"/>
          <w:color w:val="000000"/>
          <w:sz w:val="24"/>
          <w:szCs w:val="24"/>
          <w:lang w:eastAsia="zh-CN"/>
        </w:rPr>
        <w:t>现场</w:t>
      </w:r>
      <w:r>
        <w:rPr>
          <w:rFonts w:hint="eastAsia" w:ascii="宋体" w:hAnsi="宋体"/>
          <w:color w:val="000000"/>
          <w:sz w:val="24"/>
          <w:szCs w:val="24"/>
        </w:rPr>
        <w:t>复试</w:t>
      </w:r>
      <w:r>
        <w:rPr>
          <w:rFonts w:hint="eastAsia" w:ascii="宋体" w:hAnsi="宋体"/>
          <w:color w:val="000000"/>
          <w:sz w:val="24"/>
          <w:szCs w:val="24"/>
          <w:lang w:eastAsia="zh-CN"/>
        </w:rPr>
        <w:t>的</w:t>
      </w:r>
      <w:r>
        <w:rPr>
          <w:rFonts w:hint="eastAsia" w:ascii="宋体" w:hAnsi="宋体"/>
          <w:color w:val="000000"/>
          <w:sz w:val="24"/>
          <w:szCs w:val="24"/>
        </w:rPr>
        <w:t>形式</w:t>
      </w:r>
      <w:r>
        <w:rPr>
          <w:rFonts w:hint="eastAsia" w:ascii="宋体" w:hAnsi="宋体"/>
          <w:color w:val="000000"/>
          <w:sz w:val="24"/>
          <w:szCs w:val="24"/>
          <w:lang w:eastAsia="zh-CN"/>
        </w:rPr>
        <w:t>进行复试</w:t>
      </w:r>
      <w:r>
        <w:rPr>
          <w:rFonts w:hint="eastAsia" w:ascii="宋体" w:hAnsi="宋体"/>
          <w:color w:val="000000"/>
          <w:sz w:val="24"/>
          <w:szCs w:val="24"/>
        </w:rPr>
        <w:t>。复试由笔试、面试、思想政治素质和品德考核等      部分组成</w:t>
      </w:r>
      <w:r>
        <w:rPr>
          <w:rFonts w:hint="eastAsia" w:ascii="宋体" w:hAnsi="宋体"/>
          <w:color w:val="000000"/>
          <w:sz w:val="24"/>
          <w:szCs w:val="24"/>
          <w:lang w:eastAsia="zh-CN"/>
        </w:rPr>
        <w:t>。</w:t>
      </w:r>
    </w:p>
    <w:p>
      <w:pPr>
        <w:spacing w:line="480" w:lineRule="exact"/>
        <w:ind w:firstLine="480" w:firstLineChars="200"/>
        <w:rPr>
          <w:rFonts w:hint="eastAsia" w:ascii="宋体" w:hAnsi="宋体"/>
          <w:color w:val="000000"/>
          <w:sz w:val="24"/>
          <w:szCs w:val="24"/>
          <w:lang w:eastAsia="zh-CN"/>
        </w:rPr>
      </w:pPr>
      <w:r>
        <w:rPr>
          <w:rFonts w:hint="eastAsia" w:ascii="宋体" w:hAnsi="宋体"/>
          <w:color w:val="000000"/>
          <w:sz w:val="24"/>
          <w:szCs w:val="24"/>
          <w:lang w:val="en-US" w:eastAsia="zh-CN"/>
        </w:rPr>
        <w:t>1、</w:t>
      </w:r>
      <w:r>
        <w:rPr>
          <w:rFonts w:hint="eastAsia" w:ascii="宋体" w:hAnsi="宋体"/>
          <w:color w:val="000000"/>
          <w:sz w:val="24"/>
          <w:szCs w:val="24"/>
        </w:rPr>
        <w:t>笔试：</w:t>
      </w:r>
      <w:r>
        <w:rPr>
          <w:rFonts w:hint="eastAsia" w:ascii="宋体" w:hAnsi="宋体"/>
          <w:color w:val="000000"/>
          <w:sz w:val="24"/>
          <w:szCs w:val="24"/>
          <w:lang w:eastAsia="zh-CN"/>
        </w:rPr>
        <w:t>学生</w:t>
      </w:r>
      <w:r>
        <w:rPr>
          <w:rFonts w:hint="eastAsia" w:ascii="宋体" w:hAnsi="宋体"/>
          <w:color w:val="000000"/>
          <w:sz w:val="24"/>
          <w:szCs w:val="24"/>
        </w:rPr>
        <w:t>笔试采用闭卷</w:t>
      </w:r>
      <w:r>
        <w:rPr>
          <w:rFonts w:hint="eastAsia" w:ascii="宋体" w:hAnsi="宋体"/>
          <w:color w:val="000000"/>
          <w:sz w:val="24"/>
          <w:szCs w:val="24"/>
          <w:lang w:eastAsia="zh-CN"/>
        </w:rPr>
        <w:t>的</w:t>
      </w:r>
      <w:r>
        <w:rPr>
          <w:rFonts w:hint="eastAsia" w:ascii="宋体" w:hAnsi="宋体"/>
          <w:color w:val="000000"/>
          <w:sz w:val="24"/>
          <w:szCs w:val="24"/>
        </w:rPr>
        <w:t>方式，</w:t>
      </w:r>
      <w:r>
        <w:rPr>
          <w:rFonts w:hint="eastAsia" w:ascii="宋体" w:hAnsi="宋体"/>
          <w:color w:val="000000"/>
          <w:sz w:val="24"/>
          <w:szCs w:val="24"/>
          <w:lang w:eastAsia="zh-CN"/>
        </w:rPr>
        <w:t>时间为</w:t>
      </w:r>
      <w:r>
        <w:rPr>
          <w:rFonts w:hint="eastAsia" w:ascii="宋体" w:hAnsi="宋体"/>
          <w:color w:val="000000"/>
          <w:sz w:val="24"/>
          <w:szCs w:val="24"/>
          <w:lang w:val="en-US" w:eastAsia="zh-CN"/>
        </w:rPr>
        <w:t>3小时，满分为100分。</w:t>
      </w:r>
      <w:r>
        <w:rPr>
          <w:rFonts w:hint="eastAsia" w:ascii="宋体" w:hAnsi="宋体"/>
          <w:color w:val="000000"/>
          <w:sz w:val="24"/>
          <w:szCs w:val="24"/>
        </w:rPr>
        <w:t>考生在限定时间内作答。</w:t>
      </w:r>
      <w:r>
        <w:rPr>
          <w:rFonts w:hint="eastAsia" w:ascii="宋体" w:hAnsi="宋体"/>
          <w:color w:val="000000"/>
          <w:sz w:val="24"/>
          <w:szCs w:val="24"/>
          <w:lang w:eastAsia="zh-CN"/>
        </w:rPr>
        <w:t>（报考法学硕士研究生的考生</w:t>
      </w:r>
      <w:r>
        <w:rPr>
          <w:rFonts w:hint="eastAsia" w:ascii="宋体" w:hAnsi="宋体"/>
          <w:color w:val="000000"/>
          <w:sz w:val="24"/>
          <w:szCs w:val="24"/>
          <w:lang w:val="en-US" w:eastAsia="zh-CN"/>
        </w:rPr>
        <w:t>没有笔试环节），报考法律硕士的考生笔试课程依据2021年硕士研究生招生专业目录进行设置。</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面试：包括专业综合面试、外语口语及听力测试。</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思想政治素质和品德考核。</w:t>
      </w:r>
    </w:p>
    <w:p>
      <w:pPr>
        <w:pStyle w:val="10"/>
        <w:numPr>
          <w:ilvl w:val="0"/>
          <w:numId w:val="2"/>
        </w:numPr>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复试</w:t>
      </w:r>
      <w:r>
        <w:rPr>
          <w:rFonts w:hint="eastAsia" w:ascii="宋体" w:hAnsi="宋体" w:eastAsia="宋体" w:cs="宋体"/>
          <w:b/>
          <w:bCs/>
          <w:sz w:val="28"/>
          <w:szCs w:val="28"/>
          <w:lang w:eastAsia="zh-CN"/>
        </w:rPr>
        <w:t>疫情防控安排</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参加复试的考生</w:t>
      </w:r>
      <w:r>
        <w:rPr>
          <w:rFonts w:hint="eastAsia" w:ascii="宋体" w:hAnsi="宋体"/>
          <w:color w:val="000000"/>
          <w:sz w:val="24"/>
          <w:szCs w:val="24"/>
          <w:lang w:eastAsia="zh-CN"/>
        </w:rPr>
        <w:t>按照《</w:t>
      </w:r>
      <w:r>
        <w:rPr>
          <w:rFonts w:hint="eastAsia" w:ascii="宋体" w:hAnsi="宋体"/>
          <w:color w:val="000000"/>
          <w:sz w:val="24"/>
          <w:szCs w:val="24"/>
          <w:lang w:val="en-US" w:eastAsia="zh-CN"/>
        </w:rPr>
        <w:t>法</w:t>
      </w:r>
      <w:r>
        <w:rPr>
          <w:rFonts w:hint="eastAsia" w:ascii="宋体" w:hAnsi="宋体"/>
          <w:color w:val="000000"/>
          <w:sz w:val="24"/>
          <w:szCs w:val="24"/>
        </w:rPr>
        <w:t>学院</w:t>
      </w:r>
      <w:r>
        <w:rPr>
          <w:rFonts w:hint="eastAsia" w:ascii="宋体" w:hAnsi="宋体"/>
          <w:color w:val="000000"/>
          <w:sz w:val="24"/>
          <w:szCs w:val="24"/>
          <w:lang w:val="en-US" w:eastAsia="zh-CN"/>
        </w:rPr>
        <w:t>2021年硕士</w:t>
      </w:r>
      <w:r>
        <w:rPr>
          <w:rFonts w:hint="eastAsia" w:ascii="宋体" w:hAnsi="宋体"/>
          <w:color w:val="000000"/>
          <w:sz w:val="24"/>
          <w:szCs w:val="24"/>
        </w:rPr>
        <w:t>研究生复试疫情安全防控指南</w:t>
      </w:r>
      <w:r>
        <w:rPr>
          <w:rFonts w:hint="eastAsia" w:ascii="宋体" w:hAnsi="宋体"/>
          <w:color w:val="000000"/>
          <w:sz w:val="24"/>
          <w:szCs w:val="24"/>
          <w:lang w:eastAsia="zh-CN"/>
        </w:rPr>
        <w:t>》按时</w:t>
      </w:r>
      <w:r>
        <w:rPr>
          <w:rFonts w:hint="eastAsia" w:ascii="宋体" w:hAnsi="宋体"/>
          <w:color w:val="000000"/>
          <w:sz w:val="24"/>
          <w:szCs w:val="24"/>
        </w:rPr>
        <w:t>向学院</w:t>
      </w:r>
      <w:r>
        <w:rPr>
          <w:rFonts w:hint="eastAsia" w:ascii="宋体" w:hAnsi="宋体"/>
          <w:color w:val="000000"/>
          <w:sz w:val="24"/>
          <w:szCs w:val="24"/>
          <w:lang w:eastAsia="zh-CN"/>
        </w:rPr>
        <w:t>提交个人信息</w:t>
      </w:r>
      <w:r>
        <w:rPr>
          <w:rFonts w:hint="eastAsia" w:ascii="宋体" w:hAnsi="宋体"/>
          <w:color w:val="000000"/>
          <w:sz w:val="24"/>
          <w:szCs w:val="24"/>
        </w:rPr>
        <w:t>，待复试学院审核批准后方可来校，未经批准不得私自来校。</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批准来校参加复试的考生应配合学院做好疫情防控各项工作，应与学院保持联系，实时报告身体状况、交通状况、航班、车次等信息。</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复试期间防疫要求按照国家与地方最新疫情防控有关规定执行，其他未尽事宜按照</w:t>
      </w:r>
      <w:r>
        <w:rPr>
          <w:rFonts w:hint="eastAsia" w:ascii="宋体" w:hAnsi="宋体"/>
          <w:color w:val="000000"/>
          <w:sz w:val="24"/>
          <w:szCs w:val="24"/>
          <w:lang w:eastAsia="zh-CN"/>
        </w:rPr>
        <w:t>兰州</w:t>
      </w:r>
      <w:r>
        <w:rPr>
          <w:rFonts w:hint="eastAsia" w:ascii="宋体" w:hAnsi="宋体"/>
          <w:color w:val="000000"/>
          <w:sz w:val="24"/>
          <w:szCs w:val="24"/>
        </w:rPr>
        <w:t>大学有关文件执行。</w:t>
      </w:r>
    </w:p>
    <w:p>
      <w:pPr>
        <w:numPr>
          <w:ilvl w:val="0"/>
          <w:numId w:val="0"/>
        </w:numPr>
        <w:tabs>
          <w:tab w:val="left" w:pos="837"/>
        </w:tabs>
        <w:ind w:firstLine="562" w:firstLineChars="200"/>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（四） 复试安排——现场确认</w:t>
      </w:r>
    </w:p>
    <w:p>
      <w:pPr>
        <w:spacing w:line="480" w:lineRule="exact"/>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(1)现场确认时间、地点：2021年3月24日下午14:00—18:00大学生活动中心二层平台</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注：考生往返路费、复试期间食宿自理。</w:t>
      </w:r>
    </w:p>
    <w:p>
      <w:pPr>
        <w:pStyle w:val="10"/>
        <w:tabs>
          <w:tab w:val="left" w:pos="709"/>
        </w:tabs>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highlight w:val="yellow"/>
        </w:rPr>
        <w:t>复试考试费：</w:t>
      </w:r>
      <w:r>
        <w:rPr>
          <w:rFonts w:hint="eastAsia" w:ascii="宋体" w:hAnsi="宋体" w:eastAsia="宋体" w:cs="宋体"/>
          <w:sz w:val="28"/>
          <w:szCs w:val="28"/>
          <w:highlight w:val="yellow"/>
        </w:rPr>
        <w:t>复试的考生应交纳复试考试费</w:t>
      </w:r>
      <w:r>
        <w:rPr>
          <w:rFonts w:hint="eastAsia" w:ascii="宋体" w:hAnsi="宋体" w:eastAsia="宋体" w:cs="宋体"/>
          <w:sz w:val="28"/>
          <w:szCs w:val="28"/>
          <w:highlight w:val="yellow"/>
          <w:lang w:val="en-US" w:eastAsia="zh-CN"/>
        </w:rPr>
        <w:t>50元（不含体检费）</w:t>
      </w:r>
      <w:r>
        <w:rPr>
          <w:rFonts w:hint="eastAsia" w:ascii="宋体" w:hAnsi="宋体" w:eastAsia="宋体" w:cs="宋体"/>
          <w:sz w:val="28"/>
          <w:szCs w:val="28"/>
          <w:highlight w:val="yellow"/>
        </w:rPr>
        <w:t>。</w:t>
      </w:r>
      <w:r>
        <w:rPr>
          <w:rFonts w:hint="eastAsia" w:ascii="宋体" w:hAnsi="宋体" w:eastAsia="宋体" w:cs="宋体"/>
          <w:b/>
          <w:bCs/>
          <w:sz w:val="28"/>
          <w:szCs w:val="28"/>
        </w:rPr>
        <w:t>复试考生</w:t>
      </w:r>
      <w:r>
        <w:rPr>
          <w:rFonts w:hint="eastAsia" w:ascii="宋体" w:hAnsi="宋体" w:eastAsia="宋体" w:cs="宋体"/>
          <w:b/>
          <w:bCs/>
          <w:sz w:val="28"/>
          <w:szCs w:val="28"/>
          <w:lang w:eastAsia="zh-CN"/>
        </w:rPr>
        <w:t>现场确认时</w:t>
      </w:r>
      <w:r>
        <w:rPr>
          <w:rFonts w:hint="eastAsia" w:ascii="宋体" w:hAnsi="宋体" w:eastAsia="宋体" w:cs="宋体"/>
          <w:b/>
          <w:bCs/>
          <w:sz w:val="28"/>
          <w:szCs w:val="28"/>
        </w:rPr>
        <w:t>须提交以下材料：</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复试考生提供复试前5天体温数据、行动轨迹；（见附表）</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《准考证》原件；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《身份证》原件及复印件；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《毕业证》（应届考生带学生证）原件及复印件；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诚信复试承诺书；</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有《学位证》的提交学位证原件及复印件；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本科阶段成绩单原件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（以上材料需A4幅面纸复印）</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“大学生士兵计划”的考生，在复试报到时还须提供本人《入伍批准书》、《退出现役证》原件，并留存复印件一份，以备查。</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对于有正式工作单位的在职考生，在复试报到时必须提供其在职单位同意报考的书面证明，并注明是否在职培养。（不提供模板须有单位盖章）</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享受少数民族照顾政策的考生，还须递交定向地区或工作单位同意定向培养书面证明。对少数民族应届本科毕业考生，由同意定向培养考生的少数民族自治地方县级以上人事部门出具;对工作单位在国务院公布的民族自治地方的少数民族在职人员考生，由考生所在工作单位人事部门出具。</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对同等学力考生，在复试报到时还须提供其报考专业对同等学力考生提出的具体学业要求的书面证明原件和复印件。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享受照顾政策（参加“大学生志愿服务西部计划”“三支一扶计划”“农村义务教育阶段学校教师特设岗位计划”“赴外汉语教师志愿者”“高校学生应征入伍服现役退役”“选聘高校毕业生到村任职”等项目服务期满、考核合格，3年内参加全国硕士研究生招生考试；第一志愿报考法律（法学）、法律（非法学）专业，且本科毕业4年（同等学力考生毕业6年）及以上）的考生，提供相应的证明材料。</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已经在兰州新区、兰州高新技术产业开发区、白银高新技术产业开发区、兰州经济技术开发区（简称兰州“四区”）工作的在职人员，以及志愿去兰州“四区”工作的应届本科生，在复试时提供兰州“四区”管委会和具体工作单位组织人事部门出具的工作身份证明。</w:t>
      </w:r>
    </w:p>
    <w:p>
      <w:pPr>
        <w:spacing w:line="480" w:lineRule="exact"/>
        <w:ind w:firstLine="482" w:firstLineChars="200"/>
        <w:rPr>
          <w:rFonts w:hint="default" w:ascii="宋体" w:hAnsi="宋体"/>
          <w:color w:val="000000"/>
          <w:sz w:val="24"/>
          <w:szCs w:val="24"/>
          <w:lang w:val="en-US" w:eastAsia="zh-CN"/>
        </w:rPr>
      </w:pPr>
      <w:r>
        <w:rPr>
          <w:rFonts w:hint="eastAsia" w:ascii="宋体" w:hAnsi="宋体"/>
          <w:b/>
          <w:bCs/>
          <w:color w:val="000000"/>
          <w:sz w:val="24"/>
          <w:szCs w:val="24"/>
          <w:lang w:val="en-US" w:eastAsia="zh-CN"/>
        </w:rPr>
        <w:t>注：调剂学生还需上交硕士初试成绩证明。</w:t>
      </w:r>
    </w:p>
    <w:p>
      <w:pPr>
        <w:spacing w:line="480" w:lineRule="exact"/>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(2)现场确认分组：</w:t>
      </w:r>
    </w:p>
    <w:p>
      <w:pPr>
        <w:spacing w:line="480" w:lineRule="exact"/>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第一组：法学、法律（法学）、非全日制、专项计划复试考生</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第二组：法律（非法学）复试考生</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(3)现场确认流程：</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按照现场工作指南和工作人员要求进行材料提交和领取思政面试号码牌，在现场确认后前往思政服务台领取思政面试号码牌，即领即走不做逗留。请妥善保管面试号码牌。</w:t>
      </w:r>
    </w:p>
    <w:p>
      <w:pPr>
        <w:numPr>
          <w:ilvl w:val="0"/>
          <w:numId w:val="0"/>
        </w:num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五、 复试安排——思政考核</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（1）时间、地点：3月24日下午15:00—18：00；3月25日上午8:30—12:00齐云楼17楼，持《复试考生思想政治素质和品德考核情况表》（见附件），考生如实填写并签名，备考核使用。</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（2）考生按思政考核安排时间段分批次到17楼等候，不要大声喧哗、随意交谈，思政考核结束后自行离开，不做逗留。</w:t>
      </w:r>
    </w:p>
    <w:p>
      <w:pPr>
        <w:numPr>
          <w:ilvl w:val="0"/>
          <w:numId w:val="0"/>
        </w:numPr>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六、 复试安排——法律硕士笔试（含非全日制）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时间、地点：3月25日下午14:30—17:30兰州大学医学校区杏林楼（具体考场安排报到时查看）</w:t>
      </w:r>
    </w:p>
    <w:p>
      <w:pPr>
        <w:numPr>
          <w:ilvl w:val="0"/>
          <w:numId w:val="0"/>
        </w:num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七、复试安排—— 法学硕士面试</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（1）时间、地点：3月25日下午2点兰州大学齐云楼17楼（具体安排报到时查看）</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（2）等候考生请在齐云楼1723等候室等候，不要大声喧哗、随意交谈，面试结束不逗留并自行离开。（温馨提示：请戴好口罩）</w:t>
      </w:r>
    </w:p>
    <w:p>
      <w:pPr>
        <w:numPr>
          <w:ilvl w:val="0"/>
          <w:numId w:val="0"/>
        </w:num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八、复试安排——法律硕士面试（含非全日制）</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（1）时间：3月26日—3月27日，</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上午8:30—12：00；下午1:30—18：00</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地点：兰州大学齐云楼17楼（具体分组安排报到时查看）</w:t>
      </w:r>
    </w:p>
    <w:p>
      <w:pPr>
        <w:spacing w:line="48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考生请在等候室等候，不要大声喧哗、随意交谈，面试结束不逗留并自行离开。</w:t>
      </w:r>
    </w:p>
    <w:p>
      <w:pPr>
        <w:pStyle w:val="10"/>
        <w:tabs>
          <w:tab w:val="left" w:pos="709"/>
        </w:tabs>
        <w:spacing w:line="440" w:lineRule="exact"/>
        <w:ind w:firstLine="562"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bCs/>
          <w:sz w:val="28"/>
          <w:szCs w:val="28"/>
          <w:lang w:eastAsia="zh-CN"/>
        </w:rPr>
        <w:t>法律硕士</w:t>
      </w:r>
      <w:r>
        <w:rPr>
          <w:rFonts w:hint="eastAsia" w:ascii="宋体" w:hAnsi="宋体" w:eastAsia="宋体" w:cs="宋体"/>
          <w:b/>
          <w:bCs/>
          <w:sz w:val="28"/>
          <w:szCs w:val="28"/>
        </w:rPr>
        <w:t>面试注意事项：</w:t>
      </w:r>
      <w:r>
        <w:rPr>
          <w:rFonts w:hint="eastAsia" w:ascii="宋体" w:hAnsi="宋体" w:eastAsiaTheme="minorEastAsia" w:cstheme="minorBidi"/>
          <w:color w:val="000000"/>
          <w:kern w:val="2"/>
          <w:sz w:val="24"/>
          <w:szCs w:val="24"/>
          <w:lang w:val="en-US" w:eastAsia="zh-CN" w:bidi="ar-SA"/>
        </w:rPr>
        <w:t>专业面试与英语面试交替进行，排名顺序哪个先到先参加哪个复试</w:t>
      </w:r>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.复试成绩公布</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时间：3月29日</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方式：在学院信息栏及学院网站公布</w:t>
      </w:r>
      <w:bookmarkStart w:id="0" w:name="OLE_LINK3"/>
      <w:bookmarkEnd w:id="0"/>
      <w:bookmarkStart w:id="1" w:name="OLE_LINK4"/>
      <w:bookmarkEnd w:id="1"/>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四、录取办法</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1.拟录取名单确定:各专业根据复试总成绩排名以及招生计划，由学院研究生招生领导小组最终确定各专业招生拟录取名单。</w:t>
      </w:r>
    </w:p>
    <w:p>
      <w:pPr>
        <w:pStyle w:val="10"/>
        <w:tabs>
          <w:tab w:val="left" w:pos="709"/>
        </w:tabs>
        <w:spacing w:line="440" w:lineRule="exact"/>
        <w:ind w:firstLine="482" w:firstLineChars="200"/>
        <w:rPr>
          <w:rFonts w:hint="eastAsia" w:ascii="宋体" w:hAnsi="宋体" w:eastAsiaTheme="minorEastAsia" w:cstheme="minorBidi"/>
          <w:b/>
          <w:bCs/>
          <w:color w:val="000000"/>
          <w:kern w:val="2"/>
          <w:sz w:val="24"/>
          <w:szCs w:val="24"/>
          <w:lang w:val="en-US" w:eastAsia="zh-CN" w:bidi="ar-SA"/>
        </w:rPr>
      </w:pPr>
      <w:r>
        <w:rPr>
          <w:rFonts w:hint="eastAsia" w:ascii="宋体" w:hAnsi="宋体" w:eastAsiaTheme="minorEastAsia" w:cstheme="minorBidi"/>
          <w:b/>
          <w:bCs/>
          <w:color w:val="000000"/>
          <w:kern w:val="2"/>
          <w:sz w:val="24"/>
          <w:szCs w:val="24"/>
          <w:lang w:val="en-US" w:eastAsia="zh-CN" w:bidi="ar-SA"/>
        </w:rPr>
        <w:t>法律</w:t>
      </w:r>
      <w:r>
        <w:rPr>
          <w:rFonts w:hint="eastAsia" w:ascii="宋体" w:hAnsi="宋体" w:cstheme="minorBidi"/>
          <w:b/>
          <w:bCs/>
          <w:color w:val="000000"/>
          <w:kern w:val="2"/>
          <w:sz w:val="24"/>
          <w:szCs w:val="24"/>
          <w:lang w:val="en-US" w:eastAsia="zh-CN" w:bidi="ar-SA"/>
        </w:rPr>
        <w:t>硕士</w:t>
      </w:r>
      <w:r>
        <w:rPr>
          <w:rFonts w:hint="eastAsia" w:ascii="宋体" w:hAnsi="宋体" w:eastAsiaTheme="minorEastAsia" w:cstheme="minorBidi"/>
          <w:b/>
          <w:bCs/>
          <w:color w:val="000000"/>
          <w:kern w:val="2"/>
          <w:sz w:val="24"/>
          <w:szCs w:val="24"/>
          <w:lang w:val="en-US" w:eastAsia="zh-CN" w:bidi="ar-SA"/>
        </w:rPr>
        <w:t>：复试总成绩=初试总分折合百分制成绩×50%+复试笔试成绩×20%+</w:t>
      </w:r>
      <w:r>
        <w:rPr>
          <w:rFonts w:hint="eastAsia" w:ascii="宋体" w:hAnsi="宋体" w:cstheme="minorBidi"/>
          <w:b/>
          <w:bCs/>
          <w:color w:val="000000"/>
          <w:kern w:val="2"/>
          <w:sz w:val="24"/>
          <w:szCs w:val="24"/>
          <w:lang w:val="en-US" w:eastAsia="zh-CN" w:bidi="ar-SA"/>
        </w:rPr>
        <w:t>（专业面试成绩*80%+外语口语及听力成绩*20%）</w:t>
      </w:r>
      <w:r>
        <w:rPr>
          <w:rFonts w:hint="eastAsia" w:ascii="宋体" w:hAnsi="宋体" w:eastAsiaTheme="minorEastAsia" w:cstheme="minorBidi"/>
          <w:b/>
          <w:bCs/>
          <w:color w:val="000000"/>
          <w:kern w:val="2"/>
          <w:sz w:val="24"/>
          <w:szCs w:val="24"/>
          <w:lang w:val="en-US" w:eastAsia="zh-CN" w:bidi="ar-SA"/>
        </w:rPr>
        <w:t>×30%。</w:t>
      </w:r>
    </w:p>
    <w:p>
      <w:pPr>
        <w:pStyle w:val="10"/>
        <w:tabs>
          <w:tab w:val="left" w:pos="709"/>
        </w:tabs>
        <w:spacing w:line="440" w:lineRule="exact"/>
        <w:ind w:left="0" w:leftChars="0" w:firstLine="482" w:firstLineChars="200"/>
        <w:rPr>
          <w:rFonts w:hint="eastAsia" w:ascii="宋体" w:hAnsi="宋体" w:eastAsiaTheme="minorEastAsia" w:cstheme="minorBidi"/>
          <w:b/>
          <w:bCs/>
          <w:color w:val="000000"/>
          <w:kern w:val="2"/>
          <w:sz w:val="24"/>
          <w:szCs w:val="24"/>
          <w:lang w:val="en-US" w:eastAsia="zh-CN" w:bidi="ar-SA"/>
        </w:rPr>
      </w:pPr>
      <w:r>
        <w:rPr>
          <w:rFonts w:hint="eastAsia" w:ascii="宋体" w:hAnsi="宋体" w:eastAsiaTheme="minorEastAsia" w:cstheme="minorBidi"/>
          <w:b/>
          <w:bCs/>
          <w:color w:val="000000"/>
          <w:kern w:val="2"/>
          <w:sz w:val="24"/>
          <w:szCs w:val="24"/>
          <w:lang w:val="en-US" w:eastAsia="zh-CN" w:bidi="ar-SA"/>
        </w:rPr>
        <w:t>法学硕士：复试总成绩=初试总分折合百分制成绩×60%+</w:t>
      </w:r>
      <w:r>
        <w:rPr>
          <w:rFonts w:hint="eastAsia" w:ascii="宋体" w:hAnsi="宋体" w:cstheme="minorBidi"/>
          <w:b/>
          <w:bCs/>
          <w:color w:val="000000"/>
          <w:kern w:val="2"/>
          <w:sz w:val="24"/>
          <w:szCs w:val="24"/>
          <w:lang w:val="en-US" w:eastAsia="zh-CN" w:bidi="ar-SA"/>
        </w:rPr>
        <w:t>（专业面试成绩*80%+外语口语及听力成绩*20%）</w:t>
      </w:r>
      <w:r>
        <w:rPr>
          <w:rFonts w:hint="eastAsia" w:ascii="宋体" w:hAnsi="宋体" w:eastAsiaTheme="minorEastAsia" w:cstheme="minorBidi"/>
          <w:b/>
          <w:bCs/>
          <w:color w:val="000000"/>
          <w:kern w:val="2"/>
          <w:sz w:val="24"/>
          <w:szCs w:val="24"/>
          <w:lang w:val="en-US" w:eastAsia="zh-CN" w:bidi="ar-SA"/>
        </w:rPr>
        <w:t>×40%。</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2.不予录取情况说明</w:t>
      </w:r>
      <w:bookmarkStart w:id="2" w:name="_GoBack"/>
      <w:bookmarkEnd w:id="2"/>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笔试成绩不合格者不予录取</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面试成绩不合格者不予录取</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复试成绩不合格者不予录取</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思想政治素质及品德考核不合格者不予录取</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加试成绩不合格者不予录取</w:t>
      </w:r>
    </w:p>
    <w:p>
      <w:pPr>
        <w:pStyle w:val="10"/>
        <w:tabs>
          <w:tab w:val="left" w:pos="709"/>
        </w:tabs>
        <w:spacing w:line="440" w:lineRule="exact"/>
        <w:ind w:firstLine="562" w:firstLineChars="200"/>
        <w:rPr>
          <w:rFonts w:ascii="宋体" w:hAnsi="宋体" w:eastAsia="宋体" w:cs="宋体"/>
          <w:b/>
          <w:sz w:val="28"/>
          <w:szCs w:val="28"/>
        </w:rPr>
      </w:pPr>
      <w:r>
        <w:rPr>
          <w:rFonts w:hint="eastAsia" w:ascii="宋体" w:hAnsi="宋体" w:eastAsia="宋体" w:cs="宋体"/>
          <w:b/>
          <w:sz w:val="28"/>
          <w:szCs w:val="28"/>
        </w:rPr>
        <w:t>注：在职拟录取考生请在复试成绩公布后到学院办公室1628签订三方协议。（截止时间：20</w:t>
      </w:r>
      <w:r>
        <w:rPr>
          <w:rFonts w:hint="eastAsia" w:ascii="宋体" w:hAnsi="宋体" w:eastAsia="宋体" w:cs="宋体"/>
          <w:b/>
          <w:sz w:val="28"/>
          <w:szCs w:val="28"/>
          <w:lang w:val="en-US" w:eastAsia="zh-CN"/>
        </w:rPr>
        <w:t>21</w:t>
      </w:r>
      <w:r>
        <w:rPr>
          <w:rFonts w:hint="eastAsia" w:ascii="宋体" w:hAnsi="宋体" w:eastAsia="宋体" w:cs="宋体"/>
          <w:b/>
          <w:sz w:val="28"/>
          <w:szCs w:val="28"/>
        </w:rPr>
        <w:t>年</w:t>
      </w:r>
      <w:r>
        <w:rPr>
          <w:rFonts w:hint="eastAsia" w:ascii="宋体" w:hAnsi="宋体" w:eastAsia="宋体" w:cs="宋体"/>
          <w:b/>
          <w:sz w:val="28"/>
          <w:szCs w:val="28"/>
          <w:lang w:val="en-US" w:eastAsia="zh-CN"/>
        </w:rPr>
        <w:t>4</w:t>
      </w:r>
      <w:r>
        <w:rPr>
          <w:rFonts w:hint="eastAsia" w:ascii="宋体" w:hAnsi="宋体" w:eastAsia="宋体" w:cs="宋体"/>
          <w:b/>
          <w:sz w:val="28"/>
          <w:szCs w:val="28"/>
        </w:rPr>
        <w:t>月</w:t>
      </w:r>
      <w:r>
        <w:rPr>
          <w:rFonts w:hint="eastAsia" w:ascii="宋体" w:hAnsi="宋体" w:eastAsia="宋体" w:cs="宋体"/>
          <w:b/>
          <w:sz w:val="28"/>
          <w:szCs w:val="28"/>
          <w:lang w:val="en-US" w:eastAsia="zh-CN"/>
        </w:rPr>
        <w:t>1</w:t>
      </w:r>
      <w:r>
        <w:rPr>
          <w:rFonts w:hint="eastAsia" w:ascii="宋体" w:hAnsi="宋体" w:eastAsia="宋体" w:cs="宋体"/>
          <w:b/>
          <w:sz w:val="28"/>
          <w:szCs w:val="28"/>
        </w:rPr>
        <w:t>日）</w:t>
      </w:r>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五、信息公开及投诉渠道</w:t>
      </w:r>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1.学院申诉渠道</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电话：0931—8915329</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邮箱：</w:t>
      </w:r>
      <w:r>
        <w:rPr>
          <w:rFonts w:hint="eastAsia" w:ascii="宋体" w:hAnsi="宋体" w:eastAsiaTheme="minorEastAsia" w:cstheme="minorBidi"/>
          <w:color w:val="000000"/>
          <w:kern w:val="2"/>
          <w:sz w:val="24"/>
          <w:szCs w:val="24"/>
          <w:lang w:val="en-US" w:eastAsia="zh-CN" w:bidi="ar-SA"/>
        </w:rPr>
        <w:fldChar w:fldCharType="begin"/>
      </w:r>
      <w:r>
        <w:rPr>
          <w:rFonts w:hint="eastAsia" w:ascii="宋体" w:hAnsi="宋体" w:eastAsiaTheme="minorEastAsia" w:cstheme="minorBidi"/>
          <w:color w:val="000000"/>
          <w:kern w:val="2"/>
          <w:sz w:val="24"/>
          <w:szCs w:val="24"/>
          <w:lang w:val="en-US" w:eastAsia="zh-CN" w:bidi="ar-SA"/>
        </w:rPr>
        <w:instrText xml:space="preserve"> HYPERLINK "mailto:shapeng@lzu.edu.cn" </w:instrText>
      </w:r>
      <w:r>
        <w:rPr>
          <w:rFonts w:hint="eastAsia" w:ascii="宋体" w:hAnsi="宋体" w:eastAsiaTheme="minorEastAsia" w:cstheme="minorBidi"/>
          <w:color w:val="000000"/>
          <w:kern w:val="2"/>
          <w:sz w:val="24"/>
          <w:szCs w:val="24"/>
          <w:lang w:val="en-US" w:eastAsia="zh-CN" w:bidi="ar-SA"/>
        </w:rPr>
        <w:fldChar w:fldCharType="separate"/>
      </w:r>
      <w:r>
        <w:rPr>
          <w:rFonts w:hint="eastAsia" w:ascii="宋体" w:hAnsi="宋体" w:eastAsiaTheme="minorEastAsia" w:cstheme="minorBidi"/>
          <w:color w:val="000000"/>
          <w:kern w:val="2"/>
          <w:sz w:val="24"/>
          <w:szCs w:val="24"/>
          <w:lang w:val="en-US" w:eastAsia="zh-CN" w:bidi="ar-SA"/>
        </w:rPr>
        <w:t>jwhe@lzu.edu.cn</w:t>
      </w:r>
      <w:r>
        <w:rPr>
          <w:rFonts w:hint="eastAsia" w:ascii="宋体" w:hAnsi="宋体" w:eastAsiaTheme="minorEastAsia" w:cstheme="minorBidi"/>
          <w:color w:val="000000"/>
          <w:kern w:val="2"/>
          <w:sz w:val="24"/>
          <w:szCs w:val="24"/>
          <w:lang w:val="en-US" w:eastAsia="zh-CN" w:bidi="ar-SA"/>
        </w:rPr>
        <w:fldChar w:fldCharType="end"/>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部门：兰州大学法学院党委</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地址：兰州市天水南路222号兰州大学城关校区西区齐云楼1714室</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邮编：730000</w:t>
      </w:r>
    </w:p>
    <w:p>
      <w:pPr>
        <w:pStyle w:val="10"/>
        <w:tabs>
          <w:tab w:val="left" w:pos="709"/>
        </w:tabs>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2.学校申诉渠道</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电话：0931-8912440</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信箱：yzb@lzu.edu.cn</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部门：兰州大学研究生招生办公室</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地址：兰州市天水南路222号兰州大学城关校区西区贵勤楼B304室</w:t>
      </w:r>
    </w:p>
    <w:p>
      <w:pPr>
        <w:pStyle w:val="10"/>
        <w:tabs>
          <w:tab w:val="left" w:pos="709"/>
        </w:tabs>
        <w:spacing w:line="440" w:lineRule="exact"/>
        <w:ind w:firstLine="480" w:firstLineChars="200"/>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邮编：730000</w:t>
      </w:r>
    </w:p>
    <w:p>
      <w:pPr>
        <w:pStyle w:val="10"/>
        <w:tabs>
          <w:tab w:val="left" w:pos="709"/>
        </w:tabs>
        <w:spacing w:line="440" w:lineRule="exact"/>
        <w:ind w:firstLine="562" w:firstLineChars="200"/>
        <w:rPr>
          <w:rFonts w:ascii="宋体" w:hAnsi="宋体" w:eastAsia="宋体" w:cs="宋体"/>
          <w:b/>
          <w:bCs/>
          <w:color w:val="505050"/>
          <w:sz w:val="28"/>
          <w:szCs w:val="28"/>
        </w:rPr>
      </w:pPr>
      <w:r>
        <w:rPr>
          <w:rFonts w:hint="eastAsia" w:ascii="宋体" w:hAnsi="宋体" w:eastAsia="宋体" w:cs="宋体"/>
          <w:b/>
          <w:bCs/>
          <w:sz w:val="28"/>
          <w:szCs w:val="28"/>
        </w:rPr>
        <w:t>六、其他未尽事宜，按照兰州大学相关文件执行。</w:t>
      </w:r>
    </w:p>
    <w:p>
      <w:pPr>
        <w:pStyle w:val="4"/>
        <w:widowControl/>
        <w:adjustRightInd w:val="0"/>
        <w:snapToGrid w:val="0"/>
        <w:spacing w:beforeAutospacing="0" w:after="120" w:afterAutospacing="0" w:line="440" w:lineRule="exact"/>
        <w:rPr>
          <w:rFonts w:ascii="宋体" w:hAnsi="宋体" w:eastAsia="宋体" w:cs="宋体"/>
          <w:b/>
          <w:color w:val="505050"/>
          <w:sz w:val="28"/>
          <w:szCs w:val="28"/>
        </w:rPr>
      </w:pPr>
      <w:r>
        <w:rPr>
          <w:rFonts w:hint="eastAsia" w:ascii="宋体" w:hAnsi="宋体" w:eastAsia="宋体" w:cs="宋体"/>
          <w:b/>
          <w:color w:val="505050"/>
          <w:sz w:val="28"/>
          <w:szCs w:val="28"/>
        </w:rPr>
        <w:t xml:space="preserve">                                                </w:t>
      </w:r>
    </w:p>
    <w:p>
      <w:pPr>
        <w:pStyle w:val="10"/>
        <w:tabs>
          <w:tab w:val="left" w:pos="709"/>
        </w:tabs>
        <w:spacing w:line="440" w:lineRule="exact"/>
        <w:ind w:firstLine="562" w:firstLineChars="200"/>
        <w:rPr>
          <w:rFonts w:ascii="宋体" w:hAnsi="宋体" w:eastAsia="宋体" w:cs="宋体"/>
          <w:sz w:val="28"/>
          <w:szCs w:val="28"/>
        </w:rPr>
      </w:pPr>
      <w:r>
        <w:rPr>
          <w:rFonts w:hint="eastAsia" w:ascii="宋体" w:hAnsi="宋体" w:eastAsia="宋体" w:cs="宋体"/>
          <w:b/>
          <w:color w:val="505050"/>
          <w:sz w:val="28"/>
          <w:szCs w:val="28"/>
        </w:rPr>
        <w:t xml:space="preserve">                                 </w:t>
      </w:r>
      <w:r>
        <w:rPr>
          <w:rFonts w:hint="eastAsia" w:ascii="宋体" w:hAnsi="宋体" w:eastAsia="宋体" w:cs="宋体"/>
          <w:sz w:val="28"/>
          <w:szCs w:val="28"/>
        </w:rPr>
        <w:t>兰州大学法学院</w:t>
      </w:r>
    </w:p>
    <w:p>
      <w:pPr>
        <w:pStyle w:val="10"/>
        <w:tabs>
          <w:tab w:val="left" w:pos="709"/>
        </w:tabs>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                           20</w:t>
      </w:r>
      <w:r>
        <w:rPr>
          <w:rFonts w:hint="eastAsia" w:ascii="宋体" w:hAnsi="宋体" w:eastAsia="宋体" w:cs="宋体"/>
          <w:sz w:val="28"/>
          <w:szCs w:val="28"/>
          <w:lang w:val="en-US" w:eastAsia="zh-CN"/>
        </w:rPr>
        <w:t>21</w:t>
      </w:r>
      <w:r>
        <w:rPr>
          <w:rFonts w:hint="eastAsia" w:ascii="宋体" w:hAnsi="宋体" w:eastAsia="宋体" w:cs="宋体"/>
          <w:sz w:val="28"/>
          <w:szCs w:val="28"/>
        </w:rPr>
        <w:t>年3月</w:t>
      </w:r>
      <w:r>
        <w:rPr>
          <w:rFonts w:hint="eastAsia" w:ascii="宋体" w:hAnsi="宋体" w:eastAsia="宋体" w:cs="宋体"/>
          <w:sz w:val="28"/>
          <w:szCs w:val="28"/>
          <w:lang w:val="en-US" w:eastAsia="zh-CN"/>
        </w:rPr>
        <w:t>18</w:t>
      </w:r>
      <w:r>
        <w:rPr>
          <w:rFonts w:hint="eastAsia" w:ascii="宋体" w:hAnsi="宋体" w:eastAsia="宋体" w:cs="宋体"/>
          <w:sz w:val="28"/>
          <w:szCs w:val="28"/>
        </w:rPr>
        <w:t>日</w:t>
      </w:r>
    </w:p>
    <w:p>
      <w:pPr>
        <w:spacing w:line="440" w:lineRule="exact"/>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7BA83"/>
    <w:multiLevelType w:val="singleLevel"/>
    <w:tmpl w:val="D2C7BA83"/>
    <w:lvl w:ilvl="0" w:tentative="0">
      <w:start w:val="2"/>
      <w:numFmt w:val="chineseCounting"/>
      <w:suff w:val="nothing"/>
      <w:lvlText w:val="（%1）"/>
      <w:lvlJc w:val="left"/>
      <w:rPr>
        <w:rFonts w:hint="eastAsia"/>
      </w:rPr>
    </w:lvl>
  </w:abstractNum>
  <w:abstractNum w:abstractNumId="1">
    <w:nsid w:val="24472AC2"/>
    <w:multiLevelType w:val="singleLevel"/>
    <w:tmpl w:val="24472AC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0DF3"/>
    <w:rsid w:val="00002FFB"/>
    <w:rsid w:val="00041E56"/>
    <w:rsid w:val="00076631"/>
    <w:rsid w:val="0009628C"/>
    <w:rsid w:val="0009743F"/>
    <w:rsid w:val="001448D8"/>
    <w:rsid w:val="001F2541"/>
    <w:rsid w:val="002177DA"/>
    <w:rsid w:val="00261DB7"/>
    <w:rsid w:val="00271E2F"/>
    <w:rsid w:val="002F027A"/>
    <w:rsid w:val="003A00F1"/>
    <w:rsid w:val="003F50D5"/>
    <w:rsid w:val="00460FCC"/>
    <w:rsid w:val="00560DF3"/>
    <w:rsid w:val="005851DD"/>
    <w:rsid w:val="00591F7C"/>
    <w:rsid w:val="005C0B22"/>
    <w:rsid w:val="00630F31"/>
    <w:rsid w:val="00666DE1"/>
    <w:rsid w:val="00682B1B"/>
    <w:rsid w:val="006A3C81"/>
    <w:rsid w:val="0079405F"/>
    <w:rsid w:val="007B0080"/>
    <w:rsid w:val="007B7D3D"/>
    <w:rsid w:val="007C35F1"/>
    <w:rsid w:val="007E67FC"/>
    <w:rsid w:val="0080150C"/>
    <w:rsid w:val="00985D30"/>
    <w:rsid w:val="009E3ED1"/>
    <w:rsid w:val="00A41AD9"/>
    <w:rsid w:val="00B0160F"/>
    <w:rsid w:val="00B70949"/>
    <w:rsid w:val="00BA1427"/>
    <w:rsid w:val="00CF5450"/>
    <w:rsid w:val="00D94D6B"/>
    <w:rsid w:val="00DF5870"/>
    <w:rsid w:val="00E1122F"/>
    <w:rsid w:val="00E55152"/>
    <w:rsid w:val="00F40034"/>
    <w:rsid w:val="00FA5F73"/>
    <w:rsid w:val="00FB1100"/>
    <w:rsid w:val="00FF3179"/>
    <w:rsid w:val="011B10EF"/>
    <w:rsid w:val="04804521"/>
    <w:rsid w:val="07372136"/>
    <w:rsid w:val="075F62CB"/>
    <w:rsid w:val="076D3159"/>
    <w:rsid w:val="0A34175C"/>
    <w:rsid w:val="0A4E5EEB"/>
    <w:rsid w:val="0C1942DC"/>
    <w:rsid w:val="0D5D185F"/>
    <w:rsid w:val="0DA37BB7"/>
    <w:rsid w:val="0DC875E6"/>
    <w:rsid w:val="104A26FE"/>
    <w:rsid w:val="10EF2097"/>
    <w:rsid w:val="11937C8B"/>
    <w:rsid w:val="12064A4E"/>
    <w:rsid w:val="123731F5"/>
    <w:rsid w:val="14425DA2"/>
    <w:rsid w:val="14BF1151"/>
    <w:rsid w:val="156F4984"/>
    <w:rsid w:val="157B3F40"/>
    <w:rsid w:val="15812548"/>
    <w:rsid w:val="158451F8"/>
    <w:rsid w:val="15856D27"/>
    <w:rsid w:val="15A8041C"/>
    <w:rsid w:val="16C12743"/>
    <w:rsid w:val="18B574BE"/>
    <w:rsid w:val="197E027C"/>
    <w:rsid w:val="19F00DB0"/>
    <w:rsid w:val="1AC32B4F"/>
    <w:rsid w:val="1B291944"/>
    <w:rsid w:val="1BDA35B1"/>
    <w:rsid w:val="1D2A0BF4"/>
    <w:rsid w:val="1D627348"/>
    <w:rsid w:val="1DBD6CEF"/>
    <w:rsid w:val="1F5F1FA1"/>
    <w:rsid w:val="2149724E"/>
    <w:rsid w:val="22A20FC9"/>
    <w:rsid w:val="23151C98"/>
    <w:rsid w:val="235535E2"/>
    <w:rsid w:val="23987C1C"/>
    <w:rsid w:val="245013C3"/>
    <w:rsid w:val="26D4372B"/>
    <w:rsid w:val="27ED699D"/>
    <w:rsid w:val="27F244A4"/>
    <w:rsid w:val="285819A7"/>
    <w:rsid w:val="2925049B"/>
    <w:rsid w:val="29380309"/>
    <w:rsid w:val="2B7A7814"/>
    <w:rsid w:val="2DEB37BC"/>
    <w:rsid w:val="2EAD00DF"/>
    <w:rsid w:val="2F495A58"/>
    <w:rsid w:val="304071D8"/>
    <w:rsid w:val="326A4D84"/>
    <w:rsid w:val="326F4D52"/>
    <w:rsid w:val="32FE2B16"/>
    <w:rsid w:val="33657D70"/>
    <w:rsid w:val="3398617C"/>
    <w:rsid w:val="356456E5"/>
    <w:rsid w:val="3815606D"/>
    <w:rsid w:val="392C549A"/>
    <w:rsid w:val="3B122F4B"/>
    <w:rsid w:val="3C33444A"/>
    <w:rsid w:val="3D637C2B"/>
    <w:rsid w:val="3DD07909"/>
    <w:rsid w:val="3F0D62D2"/>
    <w:rsid w:val="3F396556"/>
    <w:rsid w:val="3FFD62CB"/>
    <w:rsid w:val="406D6F00"/>
    <w:rsid w:val="41195B34"/>
    <w:rsid w:val="42D17EE6"/>
    <w:rsid w:val="469F4096"/>
    <w:rsid w:val="46A22FB6"/>
    <w:rsid w:val="482B5A2E"/>
    <w:rsid w:val="48421180"/>
    <w:rsid w:val="48E007E0"/>
    <w:rsid w:val="4B1D60E2"/>
    <w:rsid w:val="4BB31A85"/>
    <w:rsid w:val="4D5E5E62"/>
    <w:rsid w:val="4E7C52F1"/>
    <w:rsid w:val="4EB8791A"/>
    <w:rsid w:val="509A01A3"/>
    <w:rsid w:val="510A3506"/>
    <w:rsid w:val="526967C1"/>
    <w:rsid w:val="52B4268F"/>
    <w:rsid w:val="54741A77"/>
    <w:rsid w:val="55F1663B"/>
    <w:rsid w:val="565357C6"/>
    <w:rsid w:val="5751359E"/>
    <w:rsid w:val="57CD161F"/>
    <w:rsid w:val="586E1EB5"/>
    <w:rsid w:val="58C05561"/>
    <w:rsid w:val="5AFC6A81"/>
    <w:rsid w:val="5C0818EB"/>
    <w:rsid w:val="5C7B464B"/>
    <w:rsid w:val="5D6D063A"/>
    <w:rsid w:val="5E4B332F"/>
    <w:rsid w:val="5E4B7164"/>
    <w:rsid w:val="5EF20A8E"/>
    <w:rsid w:val="5F9E6EED"/>
    <w:rsid w:val="5FF46EAD"/>
    <w:rsid w:val="60F90307"/>
    <w:rsid w:val="622735BD"/>
    <w:rsid w:val="626318ED"/>
    <w:rsid w:val="626F3508"/>
    <w:rsid w:val="63091BA2"/>
    <w:rsid w:val="64756EC2"/>
    <w:rsid w:val="688F584D"/>
    <w:rsid w:val="6A527DE3"/>
    <w:rsid w:val="6C99069C"/>
    <w:rsid w:val="6E7E2B2C"/>
    <w:rsid w:val="6F294D81"/>
    <w:rsid w:val="6F9F54EC"/>
    <w:rsid w:val="702456BF"/>
    <w:rsid w:val="707F5EE0"/>
    <w:rsid w:val="71E31078"/>
    <w:rsid w:val="72BD65BE"/>
    <w:rsid w:val="776C6D66"/>
    <w:rsid w:val="78001039"/>
    <w:rsid w:val="787C57AE"/>
    <w:rsid w:val="79206BC0"/>
    <w:rsid w:val="79910888"/>
    <w:rsid w:val="79934254"/>
    <w:rsid w:val="79B66857"/>
    <w:rsid w:val="7CDE76C8"/>
    <w:rsid w:val="7D376491"/>
    <w:rsid w:val="7D7278F0"/>
    <w:rsid w:val="7DB538D2"/>
    <w:rsid w:val="7DE70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376</Words>
  <Characters>2144</Characters>
  <Lines>17</Lines>
  <Paragraphs>5</Paragraphs>
  <TotalTime>0</TotalTime>
  <ScaleCrop>false</ScaleCrop>
  <LinksUpToDate>false</LinksUpToDate>
  <CharactersWithSpaces>2515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2019-03-06T09:54:00Z</dcterms:created>
  <dc:creator>63503</dc:creator>
  <cp:lastModifiedBy>盛夏的果实</cp:lastModifiedBy>
  <cp:lastPrinted>2021-03-19T02:58:00Z</cp:lastPrinted>
  <dcterms:modified xsi:type="dcterms:W3CDTF">2021-03-19T07:41:48Z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